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="6406" w:hRule="exact" w:hSpace="181" w:wrap="notBeside" w:vAnchor="page" w:hAnchor="page" w:x="1588" w:y="71" w:anchorLock="1"/>
        <w:rPr>
          <w:vanish/>
          <w:color w:val="00000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bidi="ar"/>
        </w:rPr>
        <w:t>1</w:t>
      </w:r>
    </w:p>
    <w:p>
      <w:pPr>
        <w:widowControl/>
        <w:overflowPunct w:val="0"/>
        <w:autoSpaceDE w:val="0"/>
        <w:autoSpaceDN w:val="0"/>
        <w:adjustRightInd w:val="0"/>
        <w:spacing w:before="289" w:beforeLines="50" w:after="579" w:afterLines="100" w:line="500" w:lineRule="exact"/>
        <w:jc w:val="center"/>
        <w:textAlignment w:val="baseline"/>
        <w:rPr>
          <w:rFonts w:ascii="小标宋" w:hAnsi="宋体" w:eastAsia="小标宋" w:cs="宋体"/>
          <w:sz w:val="44"/>
          <w:szCs w:val="44"/>
        </w:rPr>
      </w:pPr>
      <w:bookmarkStart w:id="0" w:name="_GoBack"/>
      <w:r>
        <w:rPr>
          <w:rFonts w:ascii="小标宋" w:hAnsi="小标宋" w:eastAsia="小标宋" w:cs="小标宋"/>
          <w:kern w:val="0"/>
          <w:sz w:val="44"/>
          <w:szCs w:val="44"/>
          <w:lang w:bidi="ar"/>
        </w:rPr>
        <w:t>2022年自治区青少年创意编程与智能设计骨干教师培训班日程安排</w:t>
      </w:r>
    </w:p>
    <w:bookmarkEnd w:id="0"/>
    <w:tbl>
      <w:tblPr>
        <w:tblStyle w:val="1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3777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即日起至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4月8日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打开活动网址扫码报名并加入微信学习交流群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4月9日-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4月11日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课前准备测试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4月12日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从有限计算到无穷想象（1）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秦曾昌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北京航天大学副教授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4月13日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专家解读大赛python创意编程赛项评审规则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高凯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北京市第二中学教师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4月14日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专家解读大赛图形化编程赛项评审规则解读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仇鼎宸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未来基因（北京）人工智能研究院首席研究员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4月19日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从有限计算到无穷想象（2）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秦曾昌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北京航天大学副教授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4月20日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Python创意编程获奖作品赏析与辅导经验分享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高凯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北京市第二中学教师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4月21日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历届优秀图形化创意编程作品解析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仇鼎宸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未来基因（北京）人工智能研究院首席研究员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4月26日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中小学人工智能课程体系构建与探索（1）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龚超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清华大学人工智能博士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4月27日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专家解读大赛智能设计赛项评审规则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刘学瑞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天津市塘沽区第五中学教师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4月28日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基于图形化编程学习人工智能教学案例（1）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徐昊涵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未来基因（北京）人工智能研究院研究员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5月5日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中小学人工智能课程体系构建与探索（2）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龚超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清华大学人工智能博士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5月6日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Arduino获奖作品赏析与辅导经验分享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刘学瑞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天津市塘沽区第五中学教师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5月7日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20:00-21:00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基于图形化编程学习人工智能教学案例（2）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徐昊涵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未来基因（北京）人工智能研究院研究员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5月9日</w:t>
            </w:r>
          </w:p>
        </w:tc>
        <w:tc>
          <w:tcPr>
            <w:tcW w:w="377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提交满意度调查</w:t>
            </w:r>
          </w:p>
        </w:tc>
        <w:tc>
          <w:tcPr>
            <w:tcW w:w="3757" w:type="dxa"/>
            <w:shd w:val="clear" w:color="auto" w:fill="auto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179705</wp:posOffset>
            </wp:positionV>
            <wp:extent cx="852805" cy="852805"/>
            <wp:effectExtent l="0" t="0" r="4445" b="4445"/>
            <wp:wrapNone/>
            <wp:docPr id="2" name="图片 4" descr="说明: 9D5F473D-4D23-44b2-8155-9D998199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说明: 9D5F473D-4D23-44b2-8155-9D99819959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报名网址http://igeeking.mikecrm.com/5SxbwYP</w:t>
      </w:r>
    </w:p>
    <w:p>
      <w:pPr>
        <w:spacing w:line="20" w:lineRule="exact"/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1701" w:right="1474" w:bottom="1588" w:left="1474" w:header="1644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396" w:h="376" w:hRule="exact" w:wrap="around" w:vAnchor="text" w:hAnchor="page" w:x="9061" w:y="-122"/>
      <w:rPr>
        <w:rStyle w:val="17"/>
        <w:rFonts w:hint="eastAsia" w:ascii="宋体" w:hAnsi="宋体" w:eastAsia="宋体"/>
        <w:color w:val="000000"/>
        <w:sz w:val="28"/>
      </w:rPr>
    </w:pPr>
    <w:r>
      <w:rPr>
        <w:rStyle w:val="17"/>
        <w:rFonts w:hint="eastAsia"/>
        <w:sz w:val="28"/>
      </w:rPr>
      <w:t>　</w:t>
    </w: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Style w:val="17"/>
        <w:rFonts w:ascii="宋体" w:hAnsi="宋体" w:eastAsia="宋体"/>
        <w:color w:val="000000"/>
        <w:sz w:val="28"/>
      </w:rPr>
      <w:fldChar w:fldCharType="begin"/>
    </w:r>
    <w:r>
      <w:rPr>
        <w:rStyle w:val="17"/>
        <w:rFonts w:ascii="宋体" w:hAnsi="宋体" w:eastAsia="宋体"/>
        <w:color w:val="000000"/>
        <w:sz w:val="28"/>
      </w:rPr>
      <w:instrText xml:space="preserve">PAGE  </w:instrText>
    </w:r>
    <w:r>
      <w:rPr>
        <w:rStyle w:val="17"/>
        <w:rFonts w:ascii="宋体" w:hAnsi="宋体" w:eastAsia="宋体"/>
        <w:color w:val="000000"/>
        <w:sz w:val="28"/>
      </w:rPr>
      <w:fldChar w:fldCharType="separate"/>
    </w:r>
    <w:r>
      <w:rPr>
        <w:rStyle w:val="17"/>
        <w:rFonts w:ascii="宋体" w:hAnsi="宋体" w:eastAsia="宋体"/>
        <w:color w:val="000000"/>
        <w:sz w:val="28"/>
      </w:rPr>
      <w:t>7</w:t>
    </w:r>
    <w:r>
      <w:rPr>
        <w:rStyle w:val="17"/>
        <w:rFonts w:ascii="宋体" w:hAnsi="宋体" w:eastAsia="宋体"/>
        <w:color w:val="000000"/>
        <w:sz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4"/>
    <w:rsid w:val="00005BC7"/>
    <w:rsid w:val="00071292"/>
    <w:rsid w:val="000917B4"/>
    <w:rsid w:val="00094E9A"/>
    <w:rsid w:val="000A7DD2"/>
    <w:rsid w:val="000E7494"/>
    <w:rsid w:val="0010718E"/>
    <w:rsid w:val="00121A93"/>
    <w:rsid w:val="0017504C"/>
    <w:rsid w:val="001E6434"/>
    <w:rsid w:val="00200361"/>
    <w:rsid w:val="002012CD"/>
    <w:rsid w:val="00214231"/>
    <w:rsid w:val="002601C8"/>
    <w:rsid w:val="002740A2"/>
    <w:rsid w:val="002B7288"/>
    <w:rsid w:val="002C284C"/>
    <w:rsid w:val="002C7361"/>
    <w:rsid w:val="002D7AA0"/>
    <w:rsid w:val="00300161"/>
    <w:rsid w:val="00310CC6"/>
    <w:rsid w:val="00387B59"/>
    <w:rsid w:val="003A5864"/>
    <w:rsid w:val="003F0C25"/>
    <w:rsid w:val="003F59C9"/>
    <w:rsid w:val="00403D96"/>
    <w:rsid w:val="004127B1"/>
    <w:rsid w:val="004128A9"/>
    <w:rsid w:val="00417675"/>
    <w:rsid w:val="004223A5"/>
    <w:rsid w:val="00423A1E"/>
    <w:rsid w:val="00462B49"/>
    <w:rsid w:val="00464F91"/>
    <w:rsid w:val="00470677"/>
    <w:rsid w:val="0047226F"/>
    <w:rsid w:val="004829C7"/>
    <w:rsid w:val="004A52C5"/>
    <w:rsid w:val="004C4A1C"/>
    <w:rsid w:val="004D626B"/>
    <w:rsid w:val="00516221"/>
    <w:rsid w:val="00536B43"/>
    <w:rsid w:val="0057172F"/>
    <w:rsid w:val="0058684A"/>
    <w:rsid w:val="005B1427"/>
    <w:rsid w:val="005B186D"/>
    <w:rsid w:val="005B4E10"/>
    <w:rsid w:val="005C343F"/>
    <w:rsid w:val="005D22E0"/>
    <w:rsid w:val="005F7A57"/>
    <w:rsid w:val="006304AF"/>
    <w:rsid w:val="00652352"/>
    <w:rsid w:val="006571CB"/>
    <w:rsid w:val="00660FDA"/>
    <w:rsid w:val="00663462"/>
    <w:rsid w:val="00671912"/>
    <w:rsid w:val="00683D1A"/>
    <w:rsid w:val="006C3FA3"/>
    <w:rsid w:val="006D20D1"/>
    <w:rsid w:val="006F3DC6"/>
    <w:rsid w:val="00717855"/>
    <w:rsid w:val="007433D4"/>
    <w:rsid w:val="00745762"/>
    <w:rsid w:val="007479C9"/>
    <w:rsid w:val="0075146B"/>
    <w:rsid w:val="00752DE6"/>
    <w:rsid w:val="00792452"/>
    <w:rsid w:val="007B6EFD"/>
    <w:rsid w:val="007C64B3"/>
    <w:rsid w:val="007E1950"/>
    <w:rsid w:val="0081377E"/>
    <w:rsid w:val="00822738"/>
    <w:rsid w:val="00863FF7"/>
    <w:rsid w:val="00875667"/>
    <w:rsid w:val="008843D4"/>
    <w:rsid w:val="008B1700"/>
    <w:rsid w:val="008B4847"/>
    <w:rsid w:val="008B7377"/>
    <w:rsid w:val="008C7710"/>
    <w:rsid w:val="008D1940"/>
    <w:rsid w:val="008E2942"/>
    <w:rsid w:val="008E4407"/>
    <w:rsid w:val="00927138"/>
    <w:rsid w:val="00927F2A"/>
    <w:rsid w:val="00936B67"/>
    <w:rsid w:val="00960407"/>
    <w:rsid w:val="00974DB2"/>
    <w:rsid w:val="00976572"/>
    <w:rsid w:val="00986E92"/>
    <w:rsid w:val="00993A89"/>
    <w:rsid w:val="00997CE6"/>
    <w:rsid w:val="009A57FD"/>
    <w:rsid w:val="009B085E"/>
    <w:rsid w:val="009C0D49"/>
    <w:rsid w:val="009C314A"/>
    <w:rsid w:val="009D7EB6"/>
    <w:rsid w:val="009E4BA8"/>
    <w:rsid w:val="009F3A7E"/>
    <w:rsid w:val="00A43A9C"/>
    <w:rsid w:val="00A52D43"/>
    <w:rsid w:val="00A60D08"/>
    <w:rsid w:val="00AA4442"/>
    <w:rsid w:val="00AD6CD8"/>
    <w:rsid w:val="00AF1B99"/>
    <w:rsid w:val="00B22012"/>
    <w:rsid w:val="00B35861"/>
    <w:rsid w:val="00B56AEA"/>
    <w:rsid w:val="00B64B96"/>
    <w:rsid w:val="00B97F0E"/>
    <w:rsid w:val="00BA2869"/>
    <w:rsid w:val="00BE27FB"/>
    <w:rsid w:val="00C04A93"/>
    <w:rsid w:val="00C131B8"/>
    <w:rsid w:val="00C15BB9"/>
    <w:rsid w:val="00C55B3A"/>
    <w:rsid w:val="00C65DA2"/>
    <w:rsid w:val="00C6619F"/>
    <w:rsid w:val="00CA4FF5"/>
    <w:rsid w:val="00CB26A1"/>
    <w:rsid w:val="00CB4635"/>
    <w:rsid w:val="00CE299E"/>
    <w:rsid w:val="00CF0EF1"/>
    <w:rsid w:val="00CF7AA8"/>
    <w:rsid w:val="00D16693"/>
    <w:rsid w:val="00D216D2"/>
    <w:rsid w:val="00D419E4"/>
    <w:rsid w:val="00D6538B"/>
    <w:rsid w:val="00DA50C3"/>
    <w:rsid w:val="00DB0114"/>
    <w:rsid w:val="00DB73D4"/>
    <w:rsid w:val="00DC0271"/>
    <w:rsid w:val="00DD0AF8"/>
    <w:rsid w:val="00E0375B"/>
    <w:rsid w:val="00E07150"/>
    <w:rsid w:val="00E20F2E"/>
    <w:rsid w:val="00E327B0"/>
    <w:rsid w:val="00E37660"/>
    <w:rsid w:val="00E61C07"/>
    <w:rsid w:val="00E70938"/>
    <w:rsid w:val="00E7660B"/>
    <w:rsid w:val="00EA6119"/>
    <w:rsid w:val="00EC354D"/>
    <w:rsid w:val="00EE1504"/>
    <w:rsid w:val="00EE70DD"/>
    <w:rsid w:val="00F02754"/>
    <w:rsid w:val="00F174D2"/>
    <w:rsid w:val="00F25189"/>
    <w:rsid w:val="00F32FA4"/>
    <w:rsid w:val="00F35D86"/>
    <w:rsid w:val="00F379B8"/>
    <w:rsid w:val="00F40C76"/>
    <w:rsid w:val="00F54890"/>
    <w:rsid w:val="00FA2D9C"/>
    <w:rsid w:val="00FB3B51"/>
    <w:rsid w:val="00FC13B1"/>
    <w:rsid w:val="00FD1523"/>
    <w:rsid w:val="00FF4A84"/>
    <w:rsid w:val="00FF7FCF"/>
    <w:rsid w:val="13622416"/>
    <w:rsid w:val="52D93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jc w:val="left"/>
      <w:outlineLvl w:val="0"/>
    </w:pPr>
    <w:rPr>
      <w:rFonts w:ascii="Arial Unicode MS" w:hAnsi="Arial Unicode MS" w:eastAsia="Arial Unicode MS" w:cs="Times New Roman"/>
      <w:kern w:val="0"/>
      <w:sz w:val="50"/>
      <w:szCs w:val="50"/>
      <w:lang w:eastAsia="en-US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  <w:rPr>
      <w:rFonts w:eastAsia="仿宋"/>
      <w:sz w:val="32"/>
      <w:szCs w:val="22"/>
    </w:rPr>
  </w:style>
  <w:style w:type="paragraph" w:styleId="5">
    <w:name w:val="Body Text"/>
    <w:basedOn w:val="1"/>
    <w:link w:val="21"/>
    <w:uiPriority w:val="0"/>
    <w:pPr>
      <w:spacing w:after="120"/>
    </w:pPr>
  </w:style>
  <w:style w:type="paragraph" w:styleId="6">
    <w:name w:val="Body Text Indent"/>
    <w:basedOn w:val="1"/>
    <w:link w:val="33"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7">
    <w:name w:val="Date"/>
    <w:basedOn w:val="1"/>
    <w:next w:val="1"/>
    <w:link w:val="19"/>
    <w:uiPriority w:val="0"/>
    <w:pPr>
      <w:ind w:left="100" w:leftChars="2500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10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5"/>
    <w:link w:val="31"/>
    <w:qFormat/>
    <w:uiPriority w:val="0"/>
    <w:pPr>
      <w:ind w:firstLine="420" w:firstLineChars="100"/>
    </w:pPr>
    <w:rPr>
      <w:rFonts w:eastAsia="仿宋"/>
      <w:sz w:val="32"/>
      <w:szCs w:val="2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uiPriority w:val="99"/>
    <w:rPr>
      <w:color w:val="0000FF"/>
      <w:u w:val="single"/>
    </w:rPr>
  </w:style>
  <w:style w:type="character" w:customStyle="1" w:styleId="19">
    <w:name w:val="日期 Char"/>
    <w:link w:val="7"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20">
    <w:name w:val="页眉 Char"/>
    <w:link w:val="10"/>
    <w:uiPriority w:val="0"/>
    <w:rPr>
      <w:kern w:val="2"/>
      <w:sz w:val="18"/>
      <w:szCs w:val="18"/>
    </w:rPr>
  </w:style>
  <w:style w:type="character" w:customStyle="1" w:styleId="21">
    <w:name w:val="正文文本 Char"/>
    <w:link w:val="5"/>
    <w:uiPriority w:val="0"/>
    <w:rPr>
      <w:kern w:val="2"/>
      <w:sz w:val="21"/>
      <w:szCs w:val="24"/>
    </w:rPr>
  </w:style>
  <w:style w:type="character" w:customStyle="1" w:styleId="22">
    <w:name w:val="标题 1 Char"/>
    <w:link w:val="2"/>
    <w:uiPriority w:val="99"/>
    <w:rPr>
      <w:rFonts w:ascii="Arial Unicode MS" w:hAnsi="Arial Unicode MS" w:eastAsia="Arial Unicode MS"/>
      <w:sz w:val="50"/>
      <w:szCs w:val="50"/>
      <w:lang w:eastAsia="en-US"/>
    </w:rPr>
  </w:style>
  <w:style w:type="table" w:customStyle="1" w:styleId="23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5">
    <w:name w:val="页脚 Char"/>
    <w:link w:val="9"/>
    <w:uiPriority w:val="99"/>
    <w:rPr>
      <w:rFonts w:eastAsia="仿宋_GB2312"/>
      <w:kern w:val="2"/>
      <w:sz w:val="18"/>
    </w:rPr>
  </w:style>
  <w:style w:type="paragraph" w:customStyle="1" w:styleId="26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9">
    <w:name w:val="标题1"/>
    <w:basedOn w:val="1"/>
    <w:qFormat/>
    <w:uiPriority w:val="0"/>
    <w:pPr>
      <w:widowControl/>
      <w:topLinePunct/>
      <w:ind w:firstLine="600" w:firstLineChars="200"/>
    </w:pPr>
    <w:rPr>
      <w:rFonts w:eastAsia="黑体"/>
      <w:kern w:val="0"/>
      <w:sz w:val="30"/>
      <w:szCs w:val="22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31">
    <w:name w:val="正文首行缩进 Char"/>
    <w:link w:val="13"/>
    <w:uiPriority w:val="0"/>
    <w:rPr>
      <w:rFonts w:eastAsia="仿宋"/>
      <w:kern w:val="2"/>
      <w:sz w:val="32"/>
      <w:szCs w:val="22"/>
    </w:rPr>
  </w:style>
  <w:style w:type="character" w:customStyle="1" w:styleId="32">
    <w:name w:val="脚注文本 Char"/>
    <w:link w:val="11"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正文文本缩进 Char"/>
    <w:link w:val="6"/>
    <w:uiPriority w:val="0"/>
    <w:rPr>
      <w:rFonts w:eastAsia="仿宋_GB2312"/>
      <w:kern w:val="2"/>
      <w:sz w:val="32"/>
    </w:rPr>
  </w:style>
  <w:style w:type="character" w:customStyle="1" w:styleId="34">
    <w:name w:val="topp1"/>
    <w:qFormat/>
    <w:uiPriority w:val="0"/>
    <w:rPr>
      <w:sz w:val="36"/>
      <w:szCs w:val="36"/>
    </w:rPr>
  </w:style>
  <w:style w:type="table" w:customStyle="1" w:styleId="35">
    <w:name w:val="Grid Table 6 Colorful Accent 1"/>
    <w:basedOn w:val="14"/>
    <w:qFormat/>
    <w:uiPriority w:val="51"/>
    <w:rPr>
      <w:rFonts w:ascii="等线" w:hAnsi="等线" w:eastAsia="等线"/>
      <w:color w:val="2F5496"/>
    </w:rPr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blPr/>
      <w:tcPr>
        <w:tcBorders>
          <w:left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967</Words>
  <Characters>1324</Characters>
  <Lines>19</Lines>
  <Paragraphs>5</Paragraphs>
  <TotalTime>2</TotalTime>
  <ScaleCrop>false</ScaleCrop>
  <LinksUpToDate>false</LinksUpToDate>
  <CharactersWithSpaces>1453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2022-03-30T09:09:00Z</dcterms:created>
  <dc:creator>刘志红</dc:creator>
  <cp:lastModifiedBy>dell</cp:lastModifiedBy>
  <cp:lastPrinted>2022-03-24T10:18:00Z</cp:lastPrinted>
  <dcterms:modified xsi:type="dcterms:W3CDTF">2022-03-30T09:49:15Z</dcterms:modified>
  <dc:title>新科协发〔2014〕号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DD9975B41EF94CF7AB42F9480F58C507</vt:lpwstr>
  </property>
</Properties>
</file>